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4C19FA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720" w:lineRule="auto"/>
        <w:ind w:firstLine="640" w:firstLineChars="200"/>
        <w:jc w:val="center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hAnsi="黑体" w:cs="黑体"/>
          <w:b w:val="0"/>
          <w:bCs/>
          <w:sz w:val="32"/>
          <w:szCs w:val="32"/>
          <w:lang w:val="en-US" w:eastAsia="zh-CN"/>
        </w:rPr>
        <w:t>鱼市小学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关于</w:t>
      </w: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年度预算绩效情况的说明</w:t>
      </w:r>
    </w:p>
    <w:p w14:paraId="257D9EB6"/>
    <w:p w14:paraId="5B63E374">
      <w:pPr>
        <w:numPr>
          <w:ilvl w:val="0"/>
          <w:numId w:val="1"/>
        </w:numPr>
        <w:overflowPunct w:val="0"/>
        <w:spacing w:line="600" w:lineRule="exact"/>
        <w:ind w:firstLine="643" w:firstLineChars="200"/>
        <w:rPr>
          <w:rFonts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ascii="Times New Roman" w:hAnsi="Times New Roman" w:eastAsia="楷体_GB2312" w:cs="Times New Roman"/>
          <w:b/>
          <w:bCs/>
          <w:sz w:val="32"/>
          <w:szCs w:val="32"/>
        </w:rPr>
        <w:t>绩效评价工作开展情况。</w:t>
      </w:r>
    </w:p>
    <w:p w14:paraId="2BE10005">
      <w:pPr>
        <w:numPr>
          <w:ilvl w:val="0"/>
          <w:numId w:val="0"/>
        </w:numPr>
        <w:overflowPunct w:val="0"/>
        <w:spacing w:line="600" w:lineRule="exact"/>
        <w:ind w:firstLine="964" w:firstLineChars="300"/>
        <w:rPr>
          <w:rFonts w:ascii="Times New Roman" w:hAnsi="Times New Roman" w:eastAsia="楷体" w:cs="Times New Roman"/>
          <w:b/>
          <w:bCs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一是绩效自评开展情况。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组织对2024年度本单位整体支出开展绩效自评，涉及项目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个，共涉及资金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196.89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万元。其中，一般公共预算项目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186.89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万元，占一般公共预算支出总额的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%；政府性基金预算项目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 xml:space="preserve"> 个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 xml:space="preserve"> 万元，占政府性基金预算支出总额的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%；国有资本经营预算项目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 xml:space="preserve"> 个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万元，占国有资本经营预算支出总额的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%；社会保险基金预算项目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 xml:space="preserve"> 个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 xml:space="preserve"> 万元，占社会保险基金预算支出总额的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%。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二是部门评价开展情况。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组织对所属单位2024年度“</w:t>
      </w:r>
      <w:r>
        <w:rPr>
          <w:rFonts w:hint="eastAsia" w:eastAsia="仿宋_GB2312"/>
          <w:sz w:val="32"/>
          <w:szCs w:val="32"/>
        </w:rPr>
        <w:t>营养改善计划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”“</w:t>
      </w:r>
      <w:r>
        <w:rPr>
          <w:rFonts w:hint="eastAsia" w:eastAsia="仿宋_GB2312" w:cs="仿宋"/>
          <w:sz w:val="32"/>
          <w:szCs w:val="32"/>
          <w:lang w:bidi="ar"/>
        </w:rPr>
        <w:t>前教育生均公用经费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”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“</w:t>
      </w:r>
      <w:r>
        <w:rPr>
          <w:rFonts w:hint="eastAsia" w:eastAsia="仿宋_GB2312" w:cs="宋体"/>
          <w:sz w:val="32"/>
          <w:szCs w:val="32"/>
        </w:rPr>
        <w:t>义务教育生均公用经费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”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等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个项目开展了部门评价，涉及一般公共预算支出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186.89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万元，政府性基金预算支出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万元，国有资本经营预算支出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万元，社会保险基金预算支出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万元。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三是事前绩效评估开展情况。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组织对2024年度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个新增重大政策和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个重大项目开展事前绩效评估，共涉及资金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186.89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万元。</w:t>
      </w:r>
    </w:p>
    <w:p w14:paraId="01BD6425">
      <w:pPr>
        <w:numPr>
          <w:ilvl w:val="0"/>
          <w:numId w:val="0"/>
        </w:numPr>
        <w:overflowPunct w:val="0"/>
        <w:spacing w:line="600" w:lineRule="exact"/>
        <w:ind w:firstLine="964" w:firstLineChars="3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楷体_GB2312" w:cs="Times New Roman"/>
          <w:b/>
          <w:bCs/>
          <w:sz w:val="32"/>
          <w:szCs w:val="32"/>
        </w:rPr>
        <w:t>（二）绩效评价结果。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一是绩效自评结果。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2024年度本部门（单位）整体支出</w:t>
      </w:r>
      <w:r>
        <w:rPr>
          <w:rFonts w:ascii="Times New Roman" w:hAnsi="Times New Roman" w:eastAsia="仿宋_GB2312" w:cs="Times New Roman"/>
          <w:sz w:val="32"/>
          <w:szCs w:val="32"/>
        </w:rPr>
        <w:t>全年预算数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1075.18</w:t>
      </w:r>
      <w:r>
        <w:rPr>
          <w:rFonts w:ascii="Times New Roman" w:hAnsi="Times New Roman" w:eastAsia="仿宋_GB2312" w:cs="Times New Roman"/>
          <w:sz w:val="32"/>
          <w:szCs w:val="32"/>
        </w:rPr>
        <w:t>万元，执行数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1250.33</w:t>
      </w:r>
      <w:r>
        <w:rPr>
          <w:rFonts w:ascii="Times New Roman" w:hAnsi="Times New Roman" w:eastAsia="仿宋_GB2312" w:cs="Times New Roman"/>
          <w:sz w:val="32"/>
          <w:szCs w:val="32"/>
        </w:rPr>
        <w:t>万元，完成预算的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116</w:t>
      </w:r>
      <w:r>
        <w:rPr>
          <w:rFonts w:ascii="Times New Roman" w:hAnsi="Times New Roman" w:eastAsia="仿宋_GB2312" w:cs="Times New Roman"/>
          <w:sz w:val="32"/>
          <w:szCs w:val="32"/>
        </w:rPr>
        <w:t>%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，绩效自评得分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97</w:t>
      </w:r>
      <w:r>
        <w:rPr>
          <w:rFonts w:ascii="Times New Roman" w:hAnsi="Times New Roman" w:eastAsia="仿宋_GB2312" w:cs="Times New Roman"/>
          <w:sz w:val="32"/>
          <w:szCs w:val="32"/>
        </w:rPr>
        <w:t>分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，评价等级为</w:t>
      </w:r>
      <w:r>
        <w:rPr>
          <w:rFonts w:ascii="Times New Roman" w:hAnsi="Times New Roman" w:eastAsia="仿宋_GB2312" w:cs="Times New Roman"/>
          <w:sz w:val="32"/>
          <w:szCs w:val="32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优秀</w:t>
      </w:r>
      <w:r>
        <w:rPr>
          <w:rFonts w:ascii="Times New Roman" w:hAnsi="Times New Roman" w:eastAsia="仿宋_GB2312" w:cs="Times New Roman"/>
          <w:sz w:val="32"/>
          <w:szCs w:val="32"/>
        </w:rPr>
        <w:t>”。绩效目标完成情况：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2024年总计收入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1250.33万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元，其中：年初结余和结余0万元，一般公共预算财政拨款收入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1250.33万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元，其他收入0万元。比上年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减少</w:t>
      </w:r>
      <w:bookmarkStart w:id="0" w:name="__DdeLink__232_3628912898"/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601.9万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元，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减少4.5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%，收入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减少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的主要是本年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人员减少。</w:t>
      </w:r>
      <w:bookmarkEnd w:id="0"/>
    </w:p>
    <w:p w14:paraId="6B77E8C8">
      <w:pPr>
        <w:numPr>
          <w:ilvl w:val="0"/>
          <w:numId w:val="0"/>
        </w:numPr>
        <w:overflowPunct w:val="0"/>
        <w:spacing w:line="600" w:lineRule="exact"/>
        <w:ind w:firstLine="960" w:firstLineChars="3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年总计支出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1250.33万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元，比上年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减少601.9万元，减少4.5%，收入减少的主要是本年人员减少。</w:t>
      </w:r>
    </w:p>
    <w:p w14:paraId="0C6928E9">
      <w:pPr>
        <w:numPr>
          <w:ilvl w:val="0"/>
          <w:numId w:val="0"/>
        </w:numPr>
        <w:overflowPunct w:val="0"/>
        <w:spacing w:line="600" w:lineRule="exact"/>
        <w:ind w:firstLine="960" w:firstLineChars="3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年总计支出按功能分类：其中教育支出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105.2万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元；社会保障和就业支出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99.74万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元；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单位医疗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支出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37万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元；住房保障支出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61万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元。</w:t>
      </w:r>
    </w:p>
    <w:p w14:paraId="261194EF">
      <w:pPr>
        <w:numPr>
          <w:ilvl w:val="0"/>
          <w:numId w:val="0"/>
        </w:numPr>
        <w:overflowPunct w:val="0"/>
        <w:spacing w:line="600" w:lineRule="exact"/>
        <w:ind w:firstLine="960" w:firstLineChars="3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2024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年总计支出按支出性质和经济分类：一、基本支出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1243.89万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元；其中人员经费支出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1119.14万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元，比上年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减少26.17万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元 ，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减少2.3%；减少原因是</w:t>
      </w:r>
      <w:bookmarkStart w:id="1" w:name="__DdeLink__267_3628912898"/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人员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减少</w:t>
      </w:r>
      <w:bookmarkEnd w:id="1"/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。公用经费支出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124.74万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元，比上年减少40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.45万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元，减少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24.4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％，减少原因是人员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减少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，202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年正常支出，所以相对上年度减少。二、项目支出0元，比上年度增加0元。增加0%。</w:t>
      </w:r>
    </w:p>
    <w:p w14:paraId="36D682CF">
      <w:pPr>
        <w:numPr>
          <w:ilvl w:val="0"/>
          <w:numId w:val="0"/>
        </w:numPr>
        <w:overflowPunct w:val="0"/>
        <w:spacing w:line="600" w:lineRule="exact"/>
        <w:ind w:firstLine="960" w:firstLineChars="3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年总计支出按经济科目分类，其中工资福利支出956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.78万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元，对个人和家庭的补助162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.37万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元，商品服务支出106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.21万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元，资本性支出24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.97万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元。</w:t>
      </w:r>
    </w:p>
    <w:p w14:paraId="39CA31AD">
      <w:pPr>
        <w:numPr>
          <w:ilvl w:val="0"/>
          <w:numId w:val="0"/>
        </w:numPr>
        <w:overflowPunct w:val="0"/>
        <w:spacing w:line="600" w:lineRule="exact"/>
        <w:ind w:firstLine="960" w:firstLineChars="3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年我校认真贯彻落实关于厉行节约的有关规定，全年“三公”经费支出决算为0万元，较预算节约0万元，“三公”经费预算节余率为100%。</w:t>
      </w:r>
    </w:p>
    <w:p w14:paraId="79FBF096">
      <w:pPr>
        <w:spacing w:line="600" w:lineRule="exact"/>
        <w:ind w:left="0" w:firstLine="640" w:firstLineChars="200"/>
        <w:jc w:val="left"/>
        <w:rPr>
          <w:rFonts w:hint="eastAsia" w:ascii="仿宋_GB2312" w:hAnsi="仿宋" w:eastAsia="仿宋_GB2312" w:cs="仿宋"/>
          <w:sz w:val="32"/>
          <w:szCs w:val="32"/>
          <w:lang w:eastAsia="zh-CN"/>
        </w:rPr>
      </w:pPr>
      <w:r>
        <w:rPr>
          <w:rFonts w:hint="eastAsia" w:ascii="仿宋_GB2312" w:hAnsi="仿宋" w:eastAsia="仿宋_GB2312" w:cs="仿宋"/>
          <w:sz w:val="32"/>
          <w:szCs w:val="32"/>
        </w:rPr>
        <w:t>存在的问题及原因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：</w:t>
      </w:r>
    </w:p>
    <w:p w14:paraId="765FA3BA">
      <w:pPr>
        <w:numPr>
          <w:ilvl w:val="0"/>
          <w:numId w:val="0"/>
        </w:numPr>
        <w:overflowPunct w:val="0"/>
        <w:spacing w:line="600" w:lineRule="exact"/>
        <w:ind w:firstLine="960" w:firstLineChars="3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1.制定目标不科学，人员水平有待提高。没有因地制宜，未能经过充分仔细的测量及分析，导致很多时候出现目标过高，无法完成，浪费国家资源的情况出现。</w:t>
      </w:r>
    </w:p>
    <w:p w14:paraId="1C7C6DCB">
      <w:pPr>
        <w:numPr>
          <w:ilvl w:val="0"/>
          <w:numId w:val="0"/>
        </w:numPr>
        <w:overflowPunct w:val="0"/>
        <w:spacing w:line="600" w:lineRule="exact"/>
        <w:ind w:firstLine="960" w:firstLineChars="3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2.工作主次，需要分清。每个部门对于自己责任范围内的事，要积极主动完成，要讲求效率。要学会统筹安排，份内的工作要及时、高效完成。</w:t>
      </w:r>
    </w:p>
    <w:p w14:paraId="482EC567">
      <w:pPr>
        <w:overflowPunct w:val="0"/>
        <w:spacing w:line="600" w:lineRule="exact"/>
        <w:ind w:firstLine="602" w:firstLineChars="200"/>
        <w:rPr>
          <w:rFonts w:ascii="Times New Roman" w:hAnsi="Times New Roman" w:eastAsia="仿宋_GB2312" w:cs="Times New Roman"/>
          <w:bCs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kern w:val="0"/>
          <w:sz w:val="30"/>
          <w:szCs w:val="30"/>
        </w:rPr>
        <w:t>二是部门评价结果。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0"/>
          <w:szCs w:val="30"/>
          <w:lang w:eastAsia="zh-CN"/>
        </w:rPr>
        <w:t>“</w:t>
      </w:r>
      <w:r>
        <w:rPr>
          <w:rFonts w:hint="eastAsia" w:eastAsia="仿宋_GB2312"/>
          <w:sz w:val="32"/>
          <w:szCs w:val="32"/>
        </w:rPr>
        <w:t>营养改善计划</w:t>
      </w:r>
      <w:r>
        <w:rPr>
          <w:rFonts w:hint="eastAsia" w:eastAsia="仿宋_GB2312"/>
          <w:sz w:val="32"/>
          <w:szCs w:val="32"/>
          <w:lang w:eastAsia="zh-CN"/>
        </w:rPr>
        <w:t>”</w:t>
      </w:r>
      <w:r>
        <w:rPr>
          <w:rFonts w:ascii="Times New Roman" w:hAnsi="Times New Roman" w:eastAsia="仿宋_GB2312" w:cs="Times New Roman"/>
          <w:sz w:val="30"/>
          <w:szCs w:val="30"/>
        </w:rPr>
        <w:t>项目全年预算数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72</w:t>
      </w:r>
      <w:r>
        <w:rPr>
          <w:rFonts w:ascii="Times New Roman" w:hAnsi="Times New Roman" w:eastAsia="仿宋_GB2312" w:cs="Times New Roman"/>
          <w:sz w:val="32"/>
          <w:szCs w:val="32"/>
        </w:rPr>
        <w:t>万元，执行数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72</w:t>
      </w:r>
      <w:r>
        <w:rPr>
          <w:rFonts w:ascii="Times New Roman" w:hAnsi="Times New Roman" w:eastAsia="仿宋_GB2312" w:cs="Times New Roman"/>
          <w:sz w:val="32"/>
          <w:szCs w:val="32"/>
        </w:rPr>
        <w:t>万元，完成预算的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130</w:t>
      </w:r>
      <w:r>
        <w:rPr>
          <w:rFonts w:ascii="Times New Roman" w:hAnsi="Times New Roman" w:eastAsia="仿宋_GB2312" w:cs="Times New Roman"/>
          <w:sz w:val="32"/>
          <w:szCs w:val="32"/>
        </w:rPr>
        <w:t>%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</w:t>
      </w:r>
      <w:r>
        <w:rPr>
          <w:rFonts w:ascii="Times New Roman" w:hAnsi="Times New Roman" w:eastAsia="仿宋_GB2312" w:cs="Times New Roman"/>
          <w:sz w:val="32"/>
          <w:szCs w:val="32"/>
        </w:rPr>
        <w:t>部门评价得分</w:t>
      </w:r>
      <w:r>
        <w:rPr>
          <w:rFonts w:hint="eastAsia" w:eastAsia="仿宋_GB2312"/>
          <w:sz w:val="32"/>
          <w:szCs w:val="32"/>
        </w:rPr>
        <w:t>100</w:t>
      </w:r>
      <w:r>
        <w:rPr>
          <w:rFonts w:ascii="Times New Roman" w:hAnsi="Times New Roman" w:eastAsia="仿宋_GB2312" w:cs="Times New Roman"/>
          <w:sz w:val="32"/>
          <w:szCs w:val="32"/>
        </w:rPr>
        <w:t>分，评价等级为“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优秀</w:t>
      </w:r>
      <w:r>
        <w:rPr>
          <w:rFonts w:ascii="Times New Roman" w:hAnsi="Times New Roman" w:eastAsia="仿宋_GB2312" w:cs="Times New Roman"/>
          <w:sz w:val="32"/>
          <w:szCs w:val="32"/>
        </w:rPr>
        <w:t>”。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0"/>
          <w:szCs w:val="30"/>
          <w:lang w:eastAsia="zh-CN"/>
        </w:rPr>
        <w:t>“</w:t>
      </w:r>
      <w:r>
        <w:rPr>
          <w:rFonts w:hint="eastAsia" w:eastAsia="仿宋_GB2312"/>
          <w:sz w:val="32"/>
          <w:szCs w:val="32"/>
          <w:lang w:eastAsia="zh-CN"/>
        </w:rPr>
        <w:t>学前公用经经费”</w:t>
      </w:r>
      <w:r>
        <w:rPr>
          <w:rFonts w:ascii="Times New Roman" w:hAnsi="Times New Roman" w:eastAsia="仿宋_GB2312" w:cs="Times New Roman"/>
          <w:sz w:val="30"/>
          <w:szCs w:val="30"/>
        </w:rPr>
        <w:t>项目全年预算数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3.7</w:t>
      </w:r>
      <w:r>
        <w:rPr>
          <w:rFonts w:ascii="Times New Roman" w:hAnsi="Times New Roman" w:eastAsia="仿宋_GB2312" w:cs="Times New Roman"/>
          <w:sz w:val="32"/>
          <w:szCs w:val="32"/>
        </w:rPr>
        <w:t>万元，执行数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3.7</w:t>
      </w:r>
      <w:r>
        <w:rPr>
          <w:rFonts w:ascii="Times New Roman" w:hAnsi="Times New Roman" w:eastAsia="仿宋_GB2312" w:cs="Times New Roman"/>
          <w:sz w:val="32"/>
          <w:szCs w:val="32"/>
        </w:rPr>
        <w:t>万元，完成预算的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sz w:val="32"/>
          <w:szCs w:val="32"/>
        </w:rPr>
        <w:t>%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</w:t>
      </w:r>
      <w:r>
        <w:rPr>
          <w:rFonts w:ascii="Times New Roman" w:hAnsi="Times New Roman" w:eastAsia="仿宋_GB2312" w:cs="Times New Roman"/>
          <w:sz w:val="32"/>
          <w:szCs w:val="32"/>
        </w:rPr>
        <w:t>部门评价得分</w:t>
      </w:r>
      <w:r>
        <w:rPr>
          <w:rFonts w:hint="eastAsia" w:eastAsia="仿宋_GB2312"/>
          <w:sz w:val="32"/>
          <w:szCs w:val="32"/>
        </w:rPr>
        <w:t>100</w:t>
      </w:r>
      <w:r>
        <w:rPr>
          <w:rFonts w:ascii="Times New Roman" w:hAnsi="Times New Roman" w:eastAsia="仿宋_GB2312" w:cs="Times New Roman"/>
          <w:sz w:val="32"/>
          <w:szCs w:val="32"/>
        </w:rPr>
        <w:t>分，评价等级为“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优秀</w:t>
      </w:r>
      <w:r>
        <w:rPr>
          <w:rFonts w:ascii="Times New Roman" w:hAnsi="Times New Roman" w:eastAsia="仿宋_GB2312" w:cs="Times New Roman"/>
          <w:sz w:val="32"/>
          <w:szCs w:val="32"/>
        </w:rPr>
        <w:t>”。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0"/>
          <w:szCs w:val="30"/>
          <w:lang w:eastAsia="zh-CN"/>
        </w:rPr>
        <w:t>“</w:t>
      </w:r>
      <w:r>
        <w:rPr>
          <w:rFonts w:hint="eastAsia" w:eastAsia="仿宋_GB2312"/>
          <w:sz w:val="32"/>
          <w:szCs w:val="32"/>
          <w:lang w:eastAsia="zh-CN"/>
        </w:rPr>
        <w:t>义务教育公用经经费”</w:t>
      </w:r>
      <w:r>
        <w:rPr>
          <w:rFonts w:ascii="Times New Roman" w:hAnsi="Times New Roman" w:eastAsia="仿宋_GB2312" w:cs="Times New Roman"/>
          <w:sz w:val="30"/>
          <w:szCs w:val="30"/>
        </w:rPr>
        <w:t>项目全年预算数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62.79</w:t>
      </w:r>
      <w:r>
        <w:rPr>
          <w:rFonts w:ascii="Times New Roman" w:hAnsi="Times New Roman" w:eastAsia="仿宋_GB2312" w:cs="Times New Roman"/>
          <w:sz w:val="32"/>
          <w:szCs w:val="32"/>
        </w:rPr>
        <w:t>万元，执行数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62.79</w:t>
      </w:r>
      <w:r>
        <w:rPr>
          <w:rFonts w:ascii="Times New Roman" w:hAnsi="Times New Roman" w:eastAsia="仿宋_GB2312" w:cs="Times New Roman"/>
          <w:sz w:val="32"/>
          <w:szCs w:val="32"/>
        </w:rPr>
        <w:t>万元，完成预算的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sz w:val="32"/>
          <w:szCs w:val="32"/>
        </w:rPr>
        <w:t>%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</w:t>
      </w:r>
      <w:r>
        <w:rPr>
          <w:rFonts w:ascii="Times New Roman" w:hAnsi="Times New Roman" w:eastAsia="仿宋_GB2312" w:cs="Times New Roman"/>
          <w:sz w:val="32"/>
          <w:szCs w:val="32"/>
        </w:rPr>
        <w:t>部门评价得分</w:t>
      </w:r>
      <w:r>
        <w:rPr>
          <w:rFonts w:hint="eastAsia" w:eastAsia="仿宋_GB2312"/>
          <w:sz w:val="32"/>
          <w:szCs w:val="32"/>
        </w:rPr>
        <w:t>100</w:t>
      </w:r>
      <w:r>
        <w:rPr>
          <w:rFonts w:ascii="Times New Roman" w:hAnsi="Times New Roman" w:eastAsia="仿宋_GB2312" w:cs="Times New Roman"/>
          <w:sz w:val="32"/>
          <w:szCs w:val="32"/>
        </w:rPr>
        <w:t>分，评价等级为“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优秀</w:t>
      </w:r>
      <w:r>
        <w:rPr>
          <w:rFonts w:ascii="Times New Roman" w:hAnsi="Times New Roman" w:eastAsia="仿宋_GB2312" w:cs="Times New Roman"/>
          <w:sz w:val="32"/>
          <w:szCs w:val="32"/>
        </w:rPr>
        <w:t>”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0"/>
          <w:szCs w:val="30"/>
          <w:lang w:eastAsia="zh-CN"/>
        </w:rPr>
        <w:t>“</w:t>
      </w:r>
      <w:r>
        <w:rPr>
          <w:rFonts w:hint="eastAsia" w:eastAsia="仿宋_GB2312"/>
          <w:sz w:val="32"/>
          <w:szCs w:val="32"/>
        </w:rPr>
        <w:t>离退休人员的退休生活</w:t>
      </w:r>
      <w:r>
        <w:rPr>
          <w:rFonts w:hint="eastAsia" w:eastAsia="仿宋_GB2312"/>
          <w:sz w:val="32"/>
          <w:szCs w:val="32"/>
          <w:lang w:eastAsia="zh-CN"/>
        </w:rPr>
        <w:t>”</w:t>
      </w:r>
      <w:r>
        <w:rPr>
          <w:rFonts w:ascii="Times New Roman" w:hAnsi="Times New Roman" w:eastAsia="仿宋_GB2312" w:cs="Times New Roman"/>
          <w:sz w:val="30"/>
          <w:szCs w:val="30"/>
        </w:rPr>
        <w:t>项目全年预算数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28.86</w:t>
      </w:r>
      <w:r>
        <w:rPr>
          <w:rFonts w:ascii="Times New Roman" w:hAnsi="Times New Roman" w:eastAsia="仿宋_GB2312" w:cs="Times New Roman"/>
          <w:sz w:val="32"/>
          <w:szCs w:val="32"/>
        </w:rPr>
        <w:t>万元，执行数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28.86</w:t>
      </w:r>
      <w:r>
        <w:rPr>
          <w:rFonts w:ascii="Times New Roman" w:hAnsi="Times New Roman" w:eastAsia="仿宋_GB2312" w:cs="Times New Roman"/>
          <w:sz w:val="32"/>
          <w:szCs w:val="32"/>
        </w:rPr>
        <w:t>万元，完成预算的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sz w:val="32"/>
          <w:szCs w:val="32"/>
        </w:rPr>
        <w:t>%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</w:t>
      </w:r>
      <w:r>
        <w:rPr>
          <w:rFonts w:ascii="Times New Roman" w:hAnsi="Times New Roman" w:eastAsia="仿宋_GB2312" w:cs="Times New Roman"/>
          <w:sz w:val="32"/>
          <w:szCs w:val="32"/>
        </w:rPr>
        <w:t>部门评价得分</w:t>
      </w:r>
      <w:r>
        <w:rPr>
          <w:rFonts w:hint="eastAsia" w:eastAsia="仿宋_GB2312"/>
          <w:sz w:val="32"/>
          <w:szCs w:val="32"/>
        </w:rPr>
        <w:t>100</w:t>
      </w:r>
      <w:r>
        <w:rPr>
          <w:rFonts w:ascii="Times New Roman" w:hAnsi="Times New Roman" w:eastAsia="仿宋_GB2312" w:cs="Times New Roman"/>
          <w:sz w:val="32"/>
          <w:szCs w:val="32"/>
        </w:rPr>
        <w:t>分，评价等级为“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优秀</w:t>
      </w:r>
      <w:r>
        <w:rPr>
          <w:rFonts w:ascii="Times New Roman" w:hAnsi="Times New Roman" w:eastAsia="仿宋_GB2312" w:cs="Times New Roman"/>
          <w:sz w:val="32"/>
          <w:szCs w:val="32"/>
        </w:rPr>
        <w:t>”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0"/>
          <w:szCs w:val="30"/>
          <w:lang w:eastAsia="zh-CN"/>
        </w:rPr>
        <w:t>“</w:t>
      </w:r>
      <w:r>
        <w:rPr>
          <w:rFonts w:hint="eastAsia" w:eastAsia="仿宋_GB2312"/>
          <w:sz w:val="32"/>
          <w:szCs w:val="32"/>
        </w:rPr>
        <w:t>其他人员生活补助</w:t>
      </w:r>
      <w:r>
        <w:rPr>
          <w:rFonts w:hint="eastAsia" w:eastAsia="仿宋_GB2312"/>
          <w:sz w:val="32"/>
          <w:szCs w:val="32"/>
          <w:lang w:eastAsia="zh-CN"/>
        </w:rPr>
        <w:t>”</w:t>
      </w:r>
      <w:r>
        <w:rPr>
          <w:rFonts w:ascii="Times New Roman" w:hAnsi="Times New Roman" w:eastAsia="仿宋_GB2312" w:cs="Times New Roman"/>
          <w:sz w:val="30"/>
          <w:szCs w:val="30"/>
        </w:rPr>
        <w:t>项目全年预算数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29.54</w:t>
      </w:r>
      <w:r>
        <w:rPr>
          <w:rFonts w:ascii="Times New Roman" w:hAnsi="Times New Roman" w:eastAsia="仿宋_GB2312" w:cs="Times New Roman"/>
          <w:sz w:val="32"/>
          <w:szCs w:val="32"/>
        </w:rPr>
        <w:t>万元，执行数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29.54</w:t>
      </w:r>
      <w:r>
        <w:rPr>
          <w:rFonts w:ascii="Times New Roman" w:hAnsi="Times New Roman" w:eastAsia="仿宋_GB2312" w:cs="Times New Roman"/>
          <w:sz w:val="32"/>
          <w:szCs w:val="32"/>
        </w:rPr>
        <w:t>万元，完成预算的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sz w:val="32"/>
          <w:szCs w:val="32"/>
        </w:rPr>
        <w:t>%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</w:t>
      </w:r>
      <w:r>
        <w:rPr>
          <w:rFonts w:ascii="Times New Roman" w:hAnsi="Times New Roman" w:eastAsia="仿宋_GB2312" w:cs="Times New Roman"/>
          <w:sz w:val="32"/>
          <w:szCs w:val="32"/>
        </w:rPr>
        <w:t>部门评价得分</w:t>
      </w:r>
      <w:r>
        <w:rPr>
          <w:rFonts w:hint="eastAsia" w:eastAsia="仿宋_GB2312"/>
          <w:sz w:val="32"/>
          <w:szCs w:val="32"/>
        </w:rPr>
        <w:t>100</w:t>
      </w:r>
      <w:r>
        <w:rPr>
          <w:rFonts w:ascii="Times New Roman" w:hAnsi="Times New Roman" w:eastAsia="仿宋_GB2312" w:cs="Times New Roman"/>
          <w:sz w:val="32"/>
          <w:szCs w:val="32"/>
        </w:rPr>
        <w:t>分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。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三是事前绩效评估结果。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2024年度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个重大项目事前绩效评估，其中，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个项目评估通过，涉及资金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196.89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个项目评估不通过，涉及资金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万元。</w:t>
      </w:r>
    </w:p>
    <w:p w14:paraId="288BED59">
      <w:pPr>
        <w:pStyle w:val="7"/>
        <w:overflowPunct w:val="0"/>
        <w:autoSpaceDE/>
        <w:autoSpaceDN/>
        <w:spacing w:line="600" w:lineRule="exact"/>
        <w:ind w:firstLine="643" w:firstLineChars="200"/>
        <w:jc w:val="both"/>
        <w:rPr>
          <w:rFonts w:ascii="Times New Roman" w:hAnsi="Times New Roman" w:eastAsia="仿宋_GB2312" w:cs="Times New Roman"/>
          <w:color w:val="auto"/>
          <w:sz w:val="72"/>
          <w:szCs w:val="72"/>
        </w:rPr>
      </w:pPr>
      <w:r>
        <w:rPr>
          <w:rFonts w:ascii="Times New Roman" w:hAnsi="Times New Roman" w:eastAsia="楷体_GB2312" w:cs="Times New Roman"/>
          <w:b/>
          <w:bCs/>
          <w:color w:val="auto"/>
          <w:kern w:val="2"/>
          <w:sz w:val="32"/>
          <w:szCs w:val="32"/>
        </w:rPr>
        <w:t>（三）评价结果应用情况。</w:t>
      </w:r>
    </w:p>
    <w:p w14:paraId="73DB274C">
      <w:pPr>
        <w:ind w:firstLine="960" w:firstLineChars="300"/>
        <w:rPr>
          <w:rFonts w:hint="eastAsia" w:eastAsia="仿宋_GB2312"/>
          <w:sz w:val="32"/>
          <w:szCs w:val="32"/>
        </w:rPr>
      </w:pPr>
      <w:bookmarkStart w:id="2" w:name="_GoBack"/>
      <w:bookmarkEnd w:id="2"/>
      <w:r>
        <w:rPr>
          <w:rFonts w:hint="eastAsia" w:eastAsia="仿宋_GB2312"/>
          <w:sz w:val="32"/>
          <w:szCs w:val="32"/>
        </w:rPr>
        <w:t>针对评价中发现的政策设计缺陷、项目目标不明确、实施路径不合理等问题，及时向政策制定部门和项目主管科室反馈，作为其修订和完善相关政策、优化项目实施方案的重要参考，从源头上提升政策和项目的科学性。</w:t>
      </w:r>
    </w:p>
    <w:p w14:paraId="524382CA">
      <w:pPr>
        <w:rPr>
          <w:rFonts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8ABFBCA"/>
    <w:multiLevelType w:val="singleLevel"/>
    <w:tmpl w:val="D8ABFBCA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FiZjM2MjQwZTcwNjYyYzc4NDQ2ZDkzYWM3NGZmNDAifQ=="/>
  </w:docVars>
  <w:rsids>
    <w:rsidRoot w:val="00000000"/>
    <w:rsid w:val="0DB55A7E"/>
    <w:rsid w:val="0F750904"/>
    <w:rsid w:val="11536825"/>
    <w:rsid w:val="19DB686C"/>
    <w:rsid w:val="23AF2F2A"/>
    <w:rsid w:val="2BE955F4"/>
    <w:rsid w:val="33012D63"/>
    <w:rsid w:val="489A18C8"/>
    <w:rsid w:val="48C837A5"/>
    <w:rsid w:val="506374B2"/>
    <w:rsid w:val="55975FCE"/>
    <w:rsid w:val="56B769A4"/>
    <w:rsid w:val="5F782F1C"/>
    <w:rsid w:val="6C3A14A7"/>
    <w:rsid w:val="6DE2204F"/>
    <w:rsid w:val="70337FD9"/>
    <w:rsid w:val="727342FE"/>
    <w:rsid w:val="7659410D"/>
    <w:rsid w:val="7A2E6F55"/>
    <w:rsid w:val="7BB26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unhideWhenUsed/>
    <w:qFormat/>
    <w:uiPriority w:val="99"/>
    <w:pPr>
      <w:widowControl/>
      <w:spacing w:after="120"/>
      <w:ind w:left="420" w:leftChars="200"/>
      <w:jc w:val="left"/>
    </w:pPr>
    <w:rPr>
      <w:rFonts w:ascii="宋体" w:hAnsi="宋体" w:eastAsia="宋体" w:cs="宋体"/>
      <w:kern w:val="0"/>
      <w:sz w:val="24"/>
    </w:rPr>
  </w:style>
  <w:style w:type="paragraph" w:styleId="3">
    <w:name w:val="Body Text First Indent 2"/>
    <w:basedOn w:val="2"/>
    <w:next w:val="1"/>
    <w:unhideWhenUsed/>
    <w:qFormat/>
    <w:uiPriority w:val="99"/>
    <w:pPr>
      <w:ind w:firstLine="420" w:firstLineChars="200"/>
    </w:pPr>
  </w:style>
  <w:style w:type="paragraph" w:styleId="4">
    <w:name w:val="footnote text"/>
    <w:basedOn w:val="1"/>
    <w:next w:val="3"/>
    <w:semiHidden/>
    <w:qFormat/>
    <w:uiPriority w:val="0"/>
    <w:pPr>
      <w:snapToGrid w:val="0"/>
      <w:jc w:val="left"/>
    </w:pPr>
    <w:rPr>
      <w:sz w:val="18"/>
      <w:szCs w:val="18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1916</Words>
  <Characters>2052</Characters>
  <Lines>0</Lines>
  <Paragraphs>0</Paragraphs>
  <TotalTime>0</TotalTime>
  <ScaleCrop>false</ScaleCrop>
  <LinksUpToDate>false</LinksUpToDate>
  <CharactersWithSpaces>2058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静等花开</cp:lastModifiedBy>
  <dcterms:modified xsi:type="dcterms:W3CDTF">2025-09-21T08:33:14Z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1EB8721061AF474E89EBF3034C210971_13</vt:lpwstr>
  </property>
  <property fmtid="{D5CDD505-2E9C-101B-9397-08002B2CF9AE}" pid="4" name="KSOTemplateDocerSaveRecord">
    <vt:lpwstr>eyJoZGlkIjoiMDdhOGJhYWEzMzJhOGQ0ODA0NjE2ZGI5YzYzZTk4MzkiLCJ1c2VySWQiOiI0MjA2MTM3MzcifQ==</vt:lpwstr>
  </property>
</Properties>
</file>